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FF9" w:rsidRPr="001546CF" w:rsidRDefault="00E15FF9" w:rsidP="00E15FF9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1546CF">
        <w:rPr>
          <w:rFonts w:ascii="Book Antiqua" w:hAnsi="Book Antiqua"/>
          <w:b/>
          <w:bCs/>
          <w:sz w:val="24"/>
          <w:szCs w:val="24"/>
        </w:rPr>
        <w:t>Affordable Housing Fund (AHF)</w:t>
      </w:r>
    </w:p>
    <w:p w:rsidR="00E15FF9" w:rsidRPr="001546CF" w:rsidRDefault="00E15FF9" w:rsidP="00E15FF9">
      <w:pPr>
        <w:jc w:val="both"/>
        <w:rPr>
          <w:rFonts w:ascii="Book Antiqua" w:hAnsi="Book Antiqua"/>
          <w:sz w:val="24"/>
          <w:szCs w:val="24"/>
        </w:rPr>
      </w:pPr>
      <w:r w:rsidRPr="001546CF">
        <w:rPr>
          <w:rFonts w:ascii="Book Antiqua" w:hAnsi="Book Antiqua"/>
          <w:sz w:val="24"/>
          <w:szCs w:val="24"/>
        </w:rPr>
        <w:t xml:space="preserve">The position of funds available with NHB under </w:t>
      </w:r>
      <w:r w:rsidRPr="00115B55">
        <w:rPr>
          <w:rFonts w:ascii="Book Antiqua" w:hAnsi="Book Antiqua"/>
          <w:b/>
          <w:bCs/>
          <w:sz w:val="24"/>
          <w:szCs w:val="24"/>
        </w:rPr>
        <w:t>Affordable Housing Fund (AHF) –</w:t>
      </w:r>
      <w:r>
        <w:rPr>
          <w:rFonts w:ascii="Book Antiqua" w:hAnsi="Book Antiqua"/>
          <w:sz w:val="24"/>
          <w:szCs w:val="24"/>
        </w:rPr>
        <w:t xml:space="preserve"> </w:t>
      </w:r>
      <w:r w:rsidRPr="00115B55">
        <w:rPr>
          <w:rFonts w:ascii="Book Antiqua" w:hAnsi="Book Antiqua"/>
          <w:b/>
          <w:bCs/>
          <w:sz w:val="24"/>
          <w:szCs w:val="24"/>
        </w:rPr>
        <w:t xml:space="preserve">Tranche </w:t>
      </w:r>
      <w:r w:rsidR="0097655D">
        <w:rPr>
          <w:rFonts w:ascii="Book Antiqua" w:hAnsi="Book Antiqua"/>
          <w:b/>
          <w:bCs/>
          <w:sz w:val="24"/>
          <w:szCs w:val="24"/>
        </w:rPr>
        <w:t>2</w:t>
      </w:r>
      <w:r w:rsidR="004E3F62">
        <w:rPr>
          <w:rFonts w:ascii="Book Antiqua" w:hAnsi="Book Antiqua"/>
          <w:sz w:val="24"/>
          <w:szCs w:val="24"/>
        </w:rPr>
        <w:t xml:space="preserve"> (Year 2019-20</w:t>
      </w:r>
      <w:r>
        <w:rPr>
          <w:rFonts w:ascii="Book Antiqua" w:hAnsi="Book Antiqua"/>
          <w:sz w:val="24"/>
          <w:szCs w:val="24"/>
        </w:rPr>
        <w:t xml:space="preserve">) </w:t>
      </w:r>
      <w:r w:rsidRPr="001546CF">
        <w:rPr>
          <w:rFonts w:ascii="Book Antiqua" w:hAnsi="Book Antiqua"/>
          <w:sz w:val="24"/>
          <w:szCs w:val="24"/>
        </w:rPr>
        <w:t xml:space="preserve">as on </w:t>
      </w:r>
      <w:r w:rsidR="001465A8">
        <w:rPr>
          <w:rFonts w:ascii="Book Antiqua" w:hAnsi="Book Antiqua"/>
          <w:sz w:val="24"/>
          <w:szCs w:val="24"/>
        </w:rPr>
        <w:t>01</w:t>
      </w:r>
      <w:r w:rsidR="00651103">
        <w:rPr>
          <w:rFonts w:ascii="Book Antiqua" w:hAnsi="Book Antiqua"/>
          <w:sz w:val="24"/>
          <w:szCs w:val="24"/>
        </w:rPr>
        <w:t>-</w:t>
      </w:r>
      <w:r w:rsidR="001465A8">
        <w:rPr>
          <w:rFonts w:ascii="Book Antiqua" w:hAnsi="Book Antiqua"/>
          <w:sz w:val="24"/>
          <w:szCs w:val="24"/>
        </w:rPr>
        <w:t>10</w:t>
      </w:r>
      <w:r>
        <w:rPr>
          <w:rFonts w:ascii="Book Antiqua" w:hAnsi="Book Antiqua"/>
          <w:sz w:val="24"/>
          <w:szCs w:val="24"/>
        </w:rPr>
        <w:t>-2020</w:t>
      </w:r>
      <w:r w:rsidRPr="001546CF">
        <w:rPr>
          <w:rFonts w:ascii="Book Antiqua" w:hAnsi="Book Antiqua"/>
          <w:sz w:val="24"/>
          <w:szCs w:val="24"/>
        </w:rPr>
        <w:t xml:space="preserve"> is given in the table below:</w:t>
      </w:r>
    </w:p>
    <w:p w:rsidR="00E15FF9" w:rsidRPr="001546CF" w:rsidRDefault="00E15FF9" w:rsidP="00E15FF9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</w:t>
      </w:r>
      <w:r w:rsidRPr="001546CF">
        <w:rPr>
          <w:rFonts w:ascii="Book Antiqua" w:hAnsi="Book Antiqua"/>
          <w:sz w:val="24"/>
          <w:szCs w:val="24"/>
        </w:rPr>
        <w:t>(</w:t>
      </w:r>
      <w:proofErr w:type="gramStart"/>
      <w:r w:rsidRPr="001546CF">
        <w:rPr>
          <w:rFonts w:ascii="Book Antiqua" w:hAnsi="Book Antiqua"/>
          <w:sz w:val="24"/>
          <w:szCs w:val="24"/>
        </w:rPr>
        <w:t>in</w:t>
      </w:r>
      <w:proofErr w:type="gramEnd"/>
      <w:r w:rsidRPr="001546CF">
        <w:rPr>
          <w:rFonts w:ascii="Book Antiqua" w:hAnsi="Book Antiqua"/>
          <w:sz w:val="24"/>
          <w:szCs w:val="24"/>
        </w:rPr>
        <w:t xml:space="preserve"> </w:t>
      </w:r>
      <w:r w:rsidRPr="001546CF">
        <w:rPr>
          <w:rFonts w:ascii="Times New Roman" w:hAnsi="Times New Roman" w:cs="Times New Roman"/>
          <w:sz w:val="24"/>
          <w:szCs w:val="24"/>
        </w:rPr>
        <w:t>₹</w:t>
      </w:r>
      <w:r w:rsidRPr="001546CF">
        <w:rPr>
          <w:rFonts w:ascii="Book Antiqua" w:hAnsi="Book Antiqua"/>
          <w:sz w:val="24"/>
          <w:szCs w:val="24"/>
        </w:rPr>
        <w:t xml:space="preserve"> crore)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2"/>
        <w:gridCol w:w="2753"/>
      </w:tblGrid>
      <w:tr w:rsidR="00E15FF9" w:rsidRPr="001546CF" w:rsidTr="008228EF">
        <w:trPr>
          <w:trHeight w:val="265"/>
        </w:trPr>
        <w:tc>
          <w:tcPr>
            <w:tcW w:w="4472" w:type="dxa"/>
          </w:tcPr>
          <w:p w:rsidR="00E15FF9" w:rsidRPr="001546CF" w:rsidRDefault="00E15FF9" w:rsidP="008228EF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53" w:type="dxa"/>
          </w:tcPr>
          <w:p w:rsidR="00E15FF9" w:rsidRPr="001546CF" w:rsidRDefault="00E15FF9" w:rsidP="008228EF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546CF">
              <w:rPr>
                <w:rFonts w:ascii="Book Antiqua" w:hAnsi="Book Antiqua"/>
                <w:b/>
                <w:bCs/>
                <w:sz w:val="24"/>
                <w:szCs w:val="24"/>
              </w:rPr>
              <w:t>AHF</w:t>
            </w:r>
          </w:p>
        </w:tc>
      </w:tr>
      <w:tr w:rsidR="00E15FF9" w:rsidRPr="001546CF" w:rsidTr="008228EF">
        <w:trPr>
          <w:trHeight w:val="252"/>
        </w:trPr>
        <w:tc>
          <w:tcPr>
            <w:tcW w:w="4472" w:type="dxa"/>
          </w:tcPr>
          <w:p w:rsidR="00E15FF9" w:rsidRPr="001546CF" w:rsidRDefault="00E15FF9" w:rsidP="00180A3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1546CF">
              <w:rPr>
                <w:rFonts w:ascii="Book Antiqua" w:hAnsi="Book Antiqua"/>
                <w:sz w:val="24"/>
                <w:szCs w:val="24"/>
              </w:rPr>
              <w:t>Funds Received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1546CF">
              <w:rPr>
                <w:rFonts w:ascii="Book Antiqua" w:hAnsi="Book Antiqua"/>
                <w:sz w:val="24"/>
                <w:szCs w:val="24"/>
              </w:rPr>
              <w:t xml:space="preserve">on </w:t>
            </w:r>
            <w:r w:rsidR="00180A3A">
              <w:rPr>
                <w:rFonts w:ascii="Book Antiqua" w:hAnsi="Book Antiqua"/>
                <w:sz w:val="24"/>
                <w:szCs w:val="24"/>
              </w:rPr>
              <w:t>22.06</w:t>
            </w:r>
            <w:r w:rsidR="00846551">
              <w:rPr>
                <w:rFonts w:ascii="Book Antiqua" w:hAnsi="Book Antiqua"/>
                <w:sz w:val="24"/>
                <w:szCs w:val="24"/>
              </w:rPr>
              <w:t>.2020</w:t>
            </w:r>
          </w:p>
        </w:tc>
        <w:tc>
          <w:tcPr>
            <w:tcW w:w="2753" w:type="dxa"/>
          </w:tcPr>
          <w:p w:rsidR="00E15FF9" w:rsidRPr="001546CF" w:rsidRDefault="004E3F62" w:rsidP="008228EF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  <w:r w:rsidR="00180A3A">
              <w:rPr>
                <w:rFonts w:ascii="Book Antiqua" w:hAnsi="Book Antiqua"/>
                <w:sz w:val="24"/>
                <w:szCs w:val="24"/>
              </w:rPr>
              <w:t>476.32</w:t>
            </w:r>
            <w:r w:rsidR="00B8274C">
              <w:rPr>
                <w:rFonts w:ascii="Book Antiqua" w:hAnsi="Book Antiqua"/>
                <w:sz w:val="24"/>
                <w:szCs w:val="24"/>
              </w:rPr>
              <w:t>5</w:t>
            </w:r>
          </w:p>
        </w:tc>
      </w:tr>
      <w:tr w:rsidR="00E15FF9" w:rsidRPr="001546CF" w:rsidTr="008228EF">
        <w:trPr>
          <w:trHeight w:val="252"/>
        </w:trPr>
        <w:tc>
          <w:tcPr>
            <w:tcW w:w="4472" w:type="dxa"/>
          </w:tcPr>
          <w:p w:rsidR="00E15FF9" w:rsidRPr="0016736B" w:rsidRDefault="00E15FF9" w:rsidP="008228EF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16736B">
              <w:rPr>
                <w:rFonts w:ascii="Book Antiqua" w:hAnsi="Book Antiqua"/>
                <w:sz w:val="24"/>
                <w:szCs w:val="24"/>
              </w:rPr>
              <w:t>Funds Available</w:t>
            </w:r>
          </w:p>
        </w:tc>
        <w:tc>
          <w:tcPr>
            <w:tcW w:w="2753" w:type="dxa"/>
          </w:tcPr>
          <w:p w:rsidR="00E15FF9" w:rsidRPr="0016736B" w:rsidRDefault="00B8274C" w:rsidP="008228EF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2312.86</w:t>
            </w:r>
          </w:p>
        </w:tc>
      </w:tr>
    </w:tbl>
    <w:p w:rsidR="00E15FF9" w:rsidRDefault="00E15FF9" w:rsidP="00E15FF9">
      <w:pPr>
        <w:pStyle w:val="Default"/>
        <w:jc w:val="both"/>
      </w:pPr>
    </w:p>
    <w:p w:rsidR="00E15FF9" w:rsidRPr="001546CF" w:rsidRDefault="00E15FF9" w:rsidP="00E15FF9">
      <w:pPr>
        <w:pStyle w:val="Default"/>
        <w:jc w:val="both"/>
      </w:pPr>
      <w:r w:rsidRPr="001546CF">
        <w:t>This fund shall be utilized for refinancing the individual housing loans sanctioned and disbursed on or after 01-04-2017 falling under rural and urban category by the Primary Lending Institutions viz., Scheduled Commercial Banks, Housing Finance Companies, Regional Rural Banks</w:t>
      </w:r>
      <w:r>
        <w:t>,</w:t>
      </w:r>
      <w:r w:rsidRPr="001546CF">
        <w:t xml:space="preserve"> etc. The details of the scheme can be accessed from NHB’s website. </w:t>
      </w:r>
    </w:p>
    <w:p w:rsidR="00E15FF9" w:rsidRPr="001546CF" w:rsidRDefault="00E15FF9" w:rsidP="00E15FF9">
      <w:pPr>
        <w:pStyle w:val="Default"/>
        <w:jc w:val="both"/>
      </w:pPr>
    </w:p>
    <w:p w:rsidR="00E15FF9" w:rsidRPr="00667DD5" w:rsidRDefault="00E15FF9" w:rsidP="00E15FF9">
      <w:pPr>
        <w:jc w:val="both"/>
        <w:rPr>
          <w:rFonts w:ascii="Book Antiqua" w:hAnsi="Book Antiqua"/>
          <w:b/>
          <w:bCs/>
          <w:sz w:val="24"/>
          <w:szCs w:val="24"/>
        </w:rPr>
      </w:pPr>
      <w:r w:rsidRPr="001546CF">
        <w:rPr>
          <w:rFonts w:ascii="Book Antiqua" w:hAnsi="Book Antiqua"/>
          <w:sz w:val="24"/>
          <w:szCs w:val="24"/>
        </w:rPr>
        <w:t xml:space="preserve">The rates at which National Housing Bank will lend to </w:t>
      </w:r>
      <w:r>
        <w:rPr>
          <w:rFonts w:ascii="Book Antiqua" w:hAnsi="Book Antiqua"/>
          <w:sz w:val="24"/>
          <w:szCs w:val="24"/>
        </w:rPr>
        <w:t xml:space="preserve">the </w:t>
      </w:r>
      <w:r w:rsidRPr="001546CF">
        <w:rPr>
          <w:rFonts w:ascii="Book Antiqua" w:hAnsi="Book Antiqua"/>
          <w:sz w:val="24"/>
          <w:szCs w:val="24"/>
        </w:rPr>
        <w:t xml:space="preserve">PLIs and </w:t>
      </w:r>
      <w:r>
        <w:rPr>
          <w:rFonts w:ascii="Book Antiqua" w:hAnsi="Book Antiqua"/>
          <w:sz w:val="24"/>
          <w:szCs w:val="24"/>
        </w:rPr>
        <w:t xml:space="preserve">the </w:t>
      </w:r>
      <w:r w:rsidRPr="001546CF"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z w:val="24"/>
          <w:szCs w:val="24"/>
        </w:rPr>
        <w:t xml:space="preserve">n -lending cap thereon under </w:t>
      </w:r>
      <w:r w:rsidRPr="00115B55">
        <w:rPr>
          <w:rFonts w:ascii="Book Antiqua" w:hAnsi="Book Antiqua"/>
          <w:b/>
          <w:bCs/>
          <w:sz w:val="24"/>
          <w:szCs w:val="24"/>
        </w:rPr>
        <w:t xml:space="preserve">AHF – Tranche </w:t>
      </w:r>
      <w:r w:rsidR="00180A3A">
        <w:rPr>
          <w:rFonts w:ascii="Book Antiqua" w:hAnsi="Book Antiqua"/>
          <w:b/>
          <w:bCs/>
          <w:sz w:val="24"/>
          <w:szCs w:val="24"/>
        </w:rPr>
        <w:t>2</w:t>
      </w:r>
      <w:r>
        <w:rPr>
          <w:rFonts w:ascii="Book Antiqua" w:hAnsi="Book Antiqua"/>
          <w:sz w:val="24"/>
          <w:szCs w:val="24"/>
        </w:rPr>
        <w:t xml:space="preserve"> </w:t>
      </w:r>
      <w:r w:rsidRPr="001546CF">
        <w:rPr>
          <w:rFonts w:ascii="Book Antiqua" w:hAnsi="Book Antiqua"/>
          <w:sz w:val="24"/>
          <w:szCs w:val="24"/>
        </w:rPr>
        <w:t xml:space="preserve">are given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15FF9" w:rsidRPr="001546CF" w:rsidTr="008228EF">
        <w:tc>
          <w:tcPr>
            <w:tcW w:w="2337" w:type="dxa"/>
          </w:tcPr>
          <w:p w:rsidR="00E15FF9" w:rsidRPr="001546CF" w:rsidRDefault="00E15FF9" w:rsidP="008228EF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546CF">
              <w:rPr>
                <w:rFonts w:ascii="Book Antiqua" w:hAnsi="Book Antiqua"/>
                <w:b/>
                <w:bCs/>
                <w:sz w:val="24"/>
                <w:szCs w:val="24"/>
              </w:rPr>
              <w:t>Fund</w:t>
            </w:r>
          </w:p>
        </w:tc>
        <w:tc>
          <w:tcPr>
            <w:tcW w:w="2337" w:type="dxa"/>
          </w:tcPr>
          <w:p w:rsidR="00E15FF9" w:rsidRPr="001546CF" w:rsidRDefault="00E15FF9" w:rsidP="008228EF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546CF">
              <w:rPr>
                <w:rFonts w:ascii="Book Antiqua" w:hAnsi="Book Antiqua"/>
                <w:b/>
                <w:bCs/>
                <w:sz w:val="24"/>
                <w:szCs w:val="24"/>
              </w:rPr>
              <w:t>PLIs</w:t>
            </w:r>
          </w:p>
        </w:tc>
        <w:tc>
          <w:tcPr>
            <w:tcW w:w="2338" w:type="dxa"/>
          </w:tcPr>
          <w:p w:rsidR="00E15FF9" w:rsidRPr="001546CF" w:rsidRDefault="00E15FF9" w:rsidP="008228EF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546CF">
              <w:rPr>
                <w:rFonts w:ascii="Book Antiqua" w:hAnsi="Book Antiqua"/>
                <w:b/>
                <w:bCs/>
                <w:sz w:val="24"/>
                <w:szCs w:val="24"/>
              </w:rPr>
              <w:t>Interest Rate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(Fixed)</w:t>
            </w:r>
          </w:p>
        </w:tc>
        <w:tc>
          <w:tcPr>
            <w:tcW w:w="2338" w:type="dxa"/>
          </w:tcPr>
          <w:p w:rsidR="00E15FF9" w:rsidRPr="001546CF" w:rsidRDefault="00E15FF9" w:rsidP="008228EF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546CF">
              <w:rPr>
                <w:rFonts w:ascii="Book Antiqua" w:hAnsi="Book Antiqua"/>
                <w:b/>
                <w:bCs/>
                <w:sz w:val="24"/>
                <w:szCs w:val="24"/>
              </w:rPr>
              <w:t>On Lending Cap</w:t>
            </w:r>
          </w:p>
        </w:tc>
      </w:tr>
      <w:tr w:rsidR="00EE047F" w:rsidRPr="001546CF" w:rsidTr="008228EF">
        <w:tc>
          <w:tcPr>
            <w:tcW w:w="2337" w:type="dxa"/>
            <w:vMerge w:val="restart"/>
          </w:tcPr>
          <w:p w:rsidR="00EE047F" w:rsidRPr="001546CF" w:rsidRDefault="00EE047F" w:rsidP="00EE047F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1546CF">
              <w:rPr>
                <w:rFonts w:ascii="Book Antiqua" w:hAnsi="Book Antiqua"/>
                <w:sz w:val="24"/>
                <w:szCs w:val="24"/>
              </w:rPr>
              <w:t>AHF</w:t>
            </w:r>
          </w:p>
        </w:tc>
        <w:tc>
          <w:tcPr>
            <w:tcW w:w="2337" w:type="dxa"/>
          </w:tcPr>
          <w:p w:rsidR="00EE047F" w:rsidRPr="000914C7" w:rsidRDefault="00EE047F" w:rsidP="00EE047F">
            <w:pPr>
              <w:pStyle w:val="ListParagraph"/>
              <w:spacing w:after="0" w:line="240" w:lineRule="auto"/>
              <w:ind w:left="0" w:right="-531"/>
              <w:contextualSpacing w:val="0"/>
              <w:jc w:val="both"/>
              <w:rPr>
                <w:rFonts w:ascii="Book Antiqua" w:hAnsi="Book Antiqua"/>
                <w:szCs w:val="22"/>
              </w:rPr>
            </w:pPr>
            <w:r w:rsidRPr="000914C7">
              <w:rPr>
                <w:rFonts w:ascii="Book Antiqua" w:hAnsi="Book Antiqua"/>
                <w:szCs w:val="22"/>
              </w:rPr>
              <w:t>HFCs</w:t>
            </w:r>
          </w:p>
        </w:tc>
        <w:tc>
          <w:tcPr>
            <w:tcW w:w="2338" w:type="dxa"/>
          </w:tcPr>
          <w:p w:rsidR="00EE047F" w:rsidRPr="000914C7" w:rsidRDefault="00EE047F" w:rsidP="00EE047F">
            <w:pPr>
              <w:pStyle w:val="ListParagraph"/>
              <w:spacing w:after="0" w:line="240" w:lineRule="auto"/>
              <w:ind w:left="0" w:right="-531"/>
              <w:contextualSpacing w:val="0"/>
              <w:rPr>
                <w:rFonts w:ascii="Book Antiqua" w:hAnsi="Book Antiqua"/>
                <w:szCs w:val="22"/>
              </w:rPr>
            </w:pPr>
            <w:r w:rsidRPr="000914C7">
              <w:rPr>
                <w:rFonts w:ascii="Book Antiqua" w:hAnsi="Book Antiqua"/>
                <w:szCs w:val="22"/>
              </w:rPr>
              <w:t>3.00%</w:t>
            </w:r>
          </w:p>
        </w:tc>
        <w:tc>
          <w:tcPr>
            <w:tcW w:w="2338" w:type="dxa"/>
          </w:tcPr>
          <w:p w:rsidR="00EE047F" w:rsidRPr="000914C7" w:rsidRDefault="00EE047F" w:rsidP="00EE047F">
            <w:pPr>
              <w:pStyle w:val="ListParagraph"/>
              <w:spacing w:after="0" w:line="240" w:lineRule="auto"/>
              <w:ind w:left="0" w:right="79"/>
              <w:contextualSpacing w:val="0"/>
              <w:jc w:val="both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9.515</w:t>
            </w:r>
            <w:r w:rsidR="00171E16">
              <w:rPr>
                <w:rFonts w:ascii="Book Antiqua" w:hAnsi="Book Antiqua"/>
                <w:szCs w:val="22"/>
              </w:rPr>
              <w:t>%</w:t>
            </w:r>
          </w:p>
          <w:p w:rsidR="00EE047F" w:rsidRPr="000914C7" w:rsidRDefault="00EE047F" w:rsidP="00EE047F">
            <w:pPr>
              <w:pStyle w:val="ListParagraph"/>
              <w:spacing w:after="0" w:line="240" w:lineRule="auto"/>
              <w:ind w:left="0" w:right="79"/>
              <w:contextualSpacing w:val="0"/>
              <w:jc w:val="both"/>
              <w:rPr>
                <w:rFonts w:ascii="Book Antiqua" w:hAnsi="Book Antiqua"/>
                <w:szCs w:val="22"/>
              </w:rPr>
            </w:pPr>
            <w:r w:rsidRPr="000914C7">
              <w:rPr>
                <w:rFonts w:ascii="Book Antiqua" w:hAnsi="Book Antiqua"/>
                <w:szCs w:val="22"/>
              </w:rPr>
              <w:t xml:space="preserve">(350 bps over the 10 year G-Sec yield on </w:t>
            </w:r>
            <w:r>
              <w:rPr>
                <w:rFonts w:ascii="Book Antiqua" w:hAnsi="Book Antiqua"/>
                <w:szCs w:val="22"/>
              </w:rPr>
              <w:t>30-09</w:t>
            </w:r>
            <w:r w:rsidRPr="000914C7">
              <w:rPr>
                <w:rFonts w:ascii="Book Antiqua" w:hAnsi="Book Antiqua"/>
                <w:szCs w:val="22"/>
              </w:rPr>
              <w:t xml:space="preserve">-2020 i.e. </w:t>
            </w:r>
            <w:r>
              <w:rPr>
                <w:rFonts w:ascii="Book Antiqua" w:hAnsi="Book Antiqua"/>
                <w:szCs w:val="22"/>
              </w:rPr>
              <w:t>6.015</w:t>
            </w:r>
            <w:r w:rsidRPr="000914C7">
              <w:rPr>
                <w:rFonts w:ascii="Book Antiqua" w:hAnsi="Book Antiqua"/>
                <w:szCs w:val="22"/>
              </w:rPr>
              <w:t>%)</w:t>
            </w:r>
          </w:p>
        </w:tc>
      </w:tr>
      <w:tr w:rsidR="00EE047F" w:rsidRPr="001546CF" w:rsidTr="008228EF">
        <w:tc>
          <w:tcPr>
            <w:tcW w:w="2337" w:type="dxa"/>
            <w:vMerge/>
          </w:tcPr>
          <w:p w:rsidR="00EE047F" w:rsidRPr="001546CF" w:rsidRDefault="00EE047F" w:rsidP="00EE047F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37" w:type="dxa"/>
          </w:tcPr>
          <w:p w:rsidR="00EE047F" w:rsidRPr="000914C7" w:rsidRDefault="00EE047F" w:rsidP="00EE047F">
            <w:pPr>
              <w:pStyle w:val="ListParagraph"/>
              <w:spacing w:after="0" w:line="240" w:lineRule="auto"/>
              <w:ind w:left="0" w:right="-531"/>
              <w:contextualSpacing w:val="0"/>
              <w:jc w:val="both"/>
              <w:rPr>
                <w:rFonts w:ascii="Book Antiqua" w:hAnsi="Book Antiqua"/>
                <w:szCs w:val="22"/>
              </w:rPr>
            </w:pPr>
            <w:r w:rsidRPr="000914C7">
              <w:rPr>
                <w:rFonts w:ascii="Book Antiqua" w:hAnsi="Book Antiqua"/>
                <w:szCs w:val="22"/>
              </w:rPr>
              <w:t>SCBs and SFBs</w:t>
            </w:r>
          </w:p>
        </w:tc>
        <w:tc>
          <w:tcPr>
            <w:tcW w:w="2338" w:type="dxa"/>
          </w:tcPr>
          <w:p w:rsidR="00EE047F" w:rsidRPr="000914C7" w:rsidRDefault="00EE047F" w:rsidP="00EE047F">
            <w:pPr>
              <w:pStyle w:val="ListParagraph"/>
              <w:spacing w:after="0" w:line="240" w:lineRule="auto"/>
              <w:ind w:left="0" w:right="-531"/>
              <w:contextualSpacing w:val="0"/>
              <w:rPr>
                <w:rFonts w:ascii="Book Antiqua" w:hAnsi="Book Antiqua"/>
                <w:szCs w:val="22"/>
              </w:rPr>
            </w:pPr>
            <w:r w:rsidRPr="000914C7">
              <w:rPr>
                <w:rFonts w:ascii="Book Antiqua" w:hAnsi="Book Antiqua"/>
                <w:szCs w:val="22"/>
              </w:rPr>
              <w:t>3.00%</w:t>
            </w:r>
          </w:p>
        </w:tc>
        <w:tc>
          <w:tcPr>
            <w:tcW w:w="2338" w:type="dxa"/>
          </w:tcPr>
          <w:p w:rsidR="00EE047F" w:rsidRPr="000914C7" w:rsidRDefault="00EE047F" w:rsidP="00EE047F">
            <w:pPr>
              <w:pStyle w:val="ListParagraph"/>
              <w:spacing w:after="0" w:line="240" w:lineRule="auto"/>
              <w:ind w:left="0" w:right="79"/>
              <w:contextualSpacing w:val="0"/>
              <w:jc w:val="both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9.515</w:t>
            </w:r>
            <w:r w:rsidR="00171E16">
              <w:rPr>
                <w:rFonts w:ascii="Book Antiqua" w:hAnsi="Book Antiqua"/>
                <w:szCs w:val="22"/>
              </w:rPr>
              <w:t>%</w:t>
            </w:r>
          </w:p>
          <w:p w:rsidR="00EE047F" w:rsidRPr="000914C7" w:rsidRDefault="00EE047F" w:rsidP="00EE047F">
            <w:pPr>
              <w:pStyle w:val="ListParagraph"/>
              <w:spacing w:after="0" w:line="240" w:lineRule="auto"/>
              <w:ind w:left="0" w:right="79"/>
              <w:contextualSpacing w:val="0"/>
              <w:jc w:val="both"/>
              <w:rPr>
                <w:rFonts w:ascii="Book Antiqua" w:hAnsi="Book Antiqua"/>
                <w:szCs w:val="22"/>
              </w:rPr>
            </w:pPr>
            <w:r w:rsidRPr="000914C7">
              <w:rPr>
                <w:rFonts w:ascii="Book Antiqua" w:hAnsi="Book Antiqua"/>
                <w:szCs w:val="22"/>
              </w:rPr>
              <w:t xml:space="preserve">(350 bps over the 10 year G-Sec yield on </w:t>
            </w:r>
            <w:r>
              <w:rPr>
                <w:rFonts w:ascii="Book Antiqua" w:hAnsi="Book Antiqua"/>
                <w:szCs w:val="22"/>
              </w:rPr>
              <w:t>30-09</w:t>
            </w:r>
            <w:r w:rsidRPr="000914C7">
              <w:rPr>
                <w:rFonts w:ascii="Book Antiqua" w:hAnsi="Book Antiqua"/>
                <w:szCs w:val="22"/>
              </w:rPr>
              <w:t xml:space="preserve">-2020 i.e. </w:t>
            </w:r>
            <w:r>
              <w:rPr>
                <w:rFonts w:ascii="Book Antiqua" w:hAnsi="Book Antiqua"/>
                <w:szCs w:val="22"/>
              </w:rPr>
              <w:t>6.015</w:t>
            </w:r>
            <w:r w:rsidRPr="000914C7">
              <w:rPr>
                <w:rFonts w:ascii="Book Antiqua" w:hAnsi="Book Antiqua"/>
                <w:szCs w:val="22"/>
              </w:rPr>
              <w:t>%)</w:t>
            </w:r>
          </w:p>
        </w:tc>
      </w:tr>
      <w:tr w:rsidR="00EE047F" w:rsidRPr="001546CF" w:rsidTr="008228EF">
        <w:tc>
          <w:tcPr>
            <w:tcW w:w="2337" w:type="dxa"/>
            <w:vMerge/>
          </w:tcPr>
          <w:p w:rsidR="00EE047F" w:rsidRPr="001546CF" w:rsidRDefault="00EE047F" w:rsidP="00EE047F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37" w:type="dxa"/>
          </w:tcPr>
          <w:p w:rsidR="00EE047F" w:rsidRPr="000914C7" w:rsidRDefault="00EE047F" w:rsidP="00EE047F">
            <w:pPr>
              <w:pStyle w:val="ListParagraph"/>
              <w:spacing w:after="0" w:line="240" w:lineRule="auto"/>
              <w:ind w:left="0" w:right="-531"/>
              <w:contextualSpacing w:val="0"/>
              <w:jc w:val="both"/>
              <w:rPr>
                <w:rFonts w:ascii="Book Antiqua" w:hAnsi="Book Antiqua"/>
                <w:szCs w:val="22"/>
              </w:rPr>
            </w:pPr>
            <w:r w:rsidRPr="000914C7">
              <w:rPr>
                <w:rFonts w:ascii="Book Antiqua" w:hAnsi="Book Antiqua"/>
                <w:szCs w:val="22"/>
              </w:rPr>
              <w:t>Others</w:t>
            </w:r>
          </w:p>
        </w:tc>
        <w:tc>
          <w:tcPr>
            <w:tcW w:w="2338" w:type="dxa"/>
          </w:tcPr>
          <w:p w:rsidR="00EE047F" w:rsidRPr="000914C7" w:rsidRDefault="00EE047F" w:rsidP="00EE047F">
            <w:pPr>
              <w:pStyle w:val="ListParagraph"/>
              <w:spacing w:after="0" w:line="240" w:lineRule="auto"/>
              <w:ind w:left="0" w:right="-531"/>
              <w:contextualSpacing w:val="0"/>
              <w:rPr>
                <w:rFonts w:ascii="Book Antiqua" w:hAnsi="Book Antiqua"/>
                <w:szCs w:val="22"/>
              </w:rPr>
            </w:pPr>
            <w:r w:rsidRPr="000914C7">
              <w:rPr>
                <w:rFonts w:ascii="Book Antiqua" w:hAnsi="Book Antiqua"/>
                <w:szCs w:val="22"/>
              </w:rPr>
              <w:t>3.00%</w:t>
            </w:r>
          </w:p>
        </w:tc>
        <w:tc>
          <w:tcPr>
            <w:tcW w:w="2338" w:type="dxa"/>
          </w:tcPr>
          <w:p w:rsidR="00171E16" w:rsidRDefault="00171E16" w:rsidP="00EE047F">
            <w:pPr>
              <w:pStyle w:val="ListParagraph"/>
              <w:spacing w:after="0" w:line="240" w:lineRule="auto"/>
              <w:ind w:left="0" w:right="-531"/>
              <w:contextualSpacing w:val="0"/>
              <w:jc w:val="both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6.50%</w:t>
            </w:r>
          </w:p>
          <w:p w:rsidR="00EE047F" w:rsidRPr="000914C7" w:rsidRDefault="00171E16" w:rsidP="00171E16">
            <w:pPr>
              <w:pStyle w:val="ListParagraph"/>
              <w:spacing w:after="0" w:line="240" w:lineRule="auto"/>
              <w:ind w:left="0" w:right="33"/>
              <w:contextualSpacing w:val="0"/>
              <w:jc w:val="both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(</w:t>
            </w:r>
            <w:r w:rsidR="00EE047F" w:rsidRPr="000914C7">
              <w:rPr>
                <w:rFonts w:ascii="Book Antiqua" w:hAnsi="Book Antiqua"/>
                <w:szCs w:val="22"/>
              </w:rPr>
              <w:t>Refinance rate + 3.50%</w:t>
            </w:r>
            <w:r>
              <w:rPr>
                <w:rFonts w:ascii="Book Antiqua" w:hAnsi="Book Antiqua"/>
                <w:szCs w:val="22"/>
              </w:rPr>
              <w:t>)</w:t>
            </w:r>
            <w:bookmarkStart w:id="0" w:name="_GoBack"/>
            <w:bookmarkEnd w:id="0"/>
          </w:p>
        </w:tc>
      </w:tr>
    </w:tbl>
    <w:p w:rsidR="00E15FF9" w:rsidRPr="001546CF" w:rsidRDefault="00E15FF9" w:rsidP="00E15FF9">
      <w:pPr>
        <w:jc w:val="both"/>
        <w:rPr>
          <w:rFonts w:ascii="Book Antiqua" w:hAnsi="Book Antiqua"/>
          <w:sz w:val="24"/>
          <w:szCs w:val="24"/>
        </w:rPr>
      </w:pPr>
    </w:p>
    <w:p w:rsidR="00E15FF9" w:rsidRDefault="00E15FF9" w:rsidP="00E15FF9">
      <w:pPr>
        <w:jc w:val="center"/>
        <w:rPr>
          <w:rFonts w:ascii="Book Antiqua" w:hAnsi="Book Antiqua"/>
          <w:sz w:val="24"/>
          <w:szCs w:val="24"/>
        </w:rPr>
      </w:pPr>
      <w:r w:rsidRPr="001546CF">
        <w:rPr>
          <w:rFonts w:ascii="Book Antiqua" w:hAnsi="Book Antiqua"/>
          <w:sz w:val="24"/>
          <w:szCs w:val="24"/>
        </w:rPr>
        <w:t>X-X-X</w:t>
      </w:r>
    </w:p>
    <w:p w:rsidR="00E15FF9" w:rsidRDefault="00E15FF9" w:rsidP="00E15FF9">
      <w:pPr>
        <w:rPr>
          <w:rFonts w:ascii="Book Antiqua" w:hAnsi="Book Antiqua"/>
          <w:sz w:val="24"/>
          <w:szCs w:val="24"/>
        </w:rPr>
      </w:pPr>
    </w:p>
    <w:sectPr w:rsidR="00E15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96"/>
    <w:rsid w:val="00016F12"/>
    <w:rsid w:val="00022AF8"/>
    <w:rsid w:val="000B770A"/>
    <w:rsid w:val="00115B55"/>
    <w:rsid w:val="0012474E"/>
    <w:rsid w:val="00132889"/>
    <w:rsid w:val="001465A8"/>
    <w:rsid w:val="00152622"/>
    <w:rsid w:val="001546CF"/>
    <w:rsid w:val="0016736B"/>
    <w:rsid w:val="00171E16"/>
    <w:rsid w:val="00180A3A"/>
    <w:rsid w:val="001C315D"/>
    <w:rsid w:val="00214368"/>
    <w:rsid w:val="00225DF1"/>
    <w:rsid w:val="002865F9"/>
    <w:rsid w:val="002C40B8"/>
    <w:rsid w:val="00411536"/>
    <w:rsid w:val="00412F57"/>
    <w:rsid w:val="0047155F"/>
    <w:rsid w:val="004E3F62"/>
    <w:rsid w:val="004E695B"/>
    <w:rsid w:val="00527DC5"/>
    <w:rsid w:val="005365F5"/>
    <w:rsid w:val="00553242"/>
    <w:rsid w:val="005622E6"/>
    <w:rsid w:val="00563E5C"/>
    <w:rsid w:val="00651103"/>
    <w:rsid w:val="00667DD5"/>
    <w:rsid w:val="006B7C9E"/>
    <w:rsid w:val="007D7ADB"/>
    <w:rsid w:val="00846551"/>
    <w:rsid w:val="008D0096"/>
    <w:rsid w:val="0097655D"/>
    <w:rsid w:val="009A1478"/>
    <w:rsid w:val="009F5117"/>
    <w:rsid w:val="00A36EF4"/>
    <w:rsid w:val="00A647F8"/>
    <w:rsid w:val="00A96264"/>
    <w:rsid w:val="00AB2100"/>
    <w:rsid w:val="00AB502E"/>
    <w:rsid w:val="00B70D87"/>
    <w:rsid w:val="00B8274C"/>
    <w:rsid w:val="00BC5A17"/>
    <w:rsid w:val="00BD1E55"/>
    <w:rsid w:val="00CB61B9"/>
    <w:rsid w:val="00CD0D83"/>
    <w:rsid w:val="00D32E76"/>
    <w:rsid w:val="00D865EA"/>
    <w:rsid w:val="00D96167"/>
    <w:rsid w:val="00DD1EA9"/>
    <w:rsid w:val="00DD4EE0"/>
    <w:rsid w:val="00DD5DAC"/>
    <w:rsid w:val="00DE1BB1"/>
    <w:rsid w:val="00E15FF9"/>
    <w:rsid w:val="00E20C8E"/>
    <w:rsid w:val="00EC4F13"/>
    <w:rsid w:val="00ED2766"/>
    <w:rsid w:val="00EE047F"/>
    <w:rsid w:val="00F102BC"/>
    <w:rsid w:val="00F76342"/>
    <w:rsid w:val="00F97996"/>
    <w:rsid w:val="00FC5597"/>
    <w:rsid w:val="00F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BFFD0-A999-4506-89F4-DE204ACF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1E5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A1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A17"/>
    <w:rPr>
      <w:rFonts w:ascii="Segoe UI" w:hAnsi="Segoe UI" w:cs="Mangal"/>
      <w:sz w:val="18"/>
      <w:szCs w:val="16"/>
    </w:rPr>
  </w:style>
  <w:style w:type="paragraph" w:customStyle="1" w:styleId="Default">
    <w:name w:val="Default"/>
    <w:rsid w:val="001546C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EE047F"/>
    <w:pPr>
      <w:spacing w:after="200" w:line="276" w:lineRule="auto"/>
      <w:ind w:left="720"/>
      <w:contextualSpacing/>
    </w:pPr>
    <w:rPr>
      <w:rFonts w:ascii="Calibri" w:eastAsia="Times New Roman" w:hAnsi="Calibri" w:cs="Mangal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Kajal Arora</dc:creator>
  <cp:keywords/>
  <dc:description/>
  <cp:lastModifiedBy>Sremayee Debbarma</cp:lastModifiedBy>
  <cp:revision>2</cp:revision>
  <cp:lastPrinted>2020-07-31T08:58:00Z</cp:lastPrinted>
  <dcterms:created xsi:type="dcterms:W3CDTF">2020-10-19T10:49:00Z</dcterms:created>
  <dcterms:modified xsi:type="dcterms:W3CDTF">2020-10-19T10:49:00Z</dcterms:modified>
</cp:coreProperties>
</file>